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B3" w:rsidRDefault="00B826B3" w:rsidP="00B826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публичных консультаций, проводимых</w:t>
      </w:r>
    </w:p>
    <w:p w:rsidR="00B826B3" w:rsidRDefault="00B826B3" w:rsidP="00B82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по разработанному проекту закона Ивановской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области</w:t>
      </w:r>
      <w:r w:rsidR="008B3C79">
        <w:rPr>
          <w:rFonts w:ascii="Times New Roman" w:hAnsi="Times New Roman" w:cs="Times New Roman"/>
          <w:b/>
          <w:sz w:val="28"/>
          <w:szCs w:val="28"/>
        </w:rPr>
        <w:br/>
      </w:r>
      <w:r w:rsidRPr="00B826B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B826B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21ED1">
        <w:rPr>
          <w:rFonts w:ascii="Times New Roman" w:hAnsi="Times New Roman" w:cs="Times New Roman"/>
          <w:b/>
          <w:sz w:val="28"/>
          <w:szCs w:val="28"/>
        </w:rPr>
        <w:t>й</w:t>
      </w:r>
      <w:r w:rsidRPr="00B826B3">
        <w:rPr>
          <w:rFonts w:ascii="Times New Roman" w:hAnsi="Times New Roman" w:cs="Times New Roman"/>
          <w:b/>
          <w:sz w:val="28"/>
          <w:szCs w:val="28"/>
        </w:rPr>
        <w:t xml:space="preserve"> в Закон Ивановской области</w:t>
      </w:r>
      <w:r w:rsidR="008B3C79">
        <w:rPr>
          <w:rFonts w:ascii="Times New Roman" w:hAnsi="Times New Roman" w:cs="Times New Roman"/>
          <w:b/>
          <w:sz w:val="28"/>
          <w:szCs w:val="28"/>
        </w:rPr>
        <w:br/>
      </w:r>
      <w:r w:rsidRPr="00B826B3">
        <w:rPr>
          <w:rFonts w:ascii="Times New Roman" w:hAnsi="Times New Roman" w:cs="Times New Roman"/>
          <w:b/>
          <w:sz w:val="28"/>
          <w:szCs w:val="28"/>
        </w:rPr>
        <w:t xml:space="preserve"> «Об организации транспортного обслуживания населения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на территории </w:t>
      </w:r>
      <w:r w:rsidRPr="00B826B3">
        <w:rPr>
          <w:rFonts w:ascii="Times New Roman" w:hAnsi="Times New Roman" w:cs="Times New Roman"/>
          <w:b/>
          <w:sz w:val="28"/>
          <w:szCs w:val="28"/>
        </w:rPr>
        <w:t>Ивановской области»</w:t>
      </w:r>
    </w:p>
    <w:p w:rsidR="00B826B3" w:rsidRDefault="00B826B3" w:rsidP="00B826B3">
      <w:pPr>
        <w:pStyle w:val="ConsPlusNonformat"/>
        <w:tabs>
          <w:tab w:val="center" w:pos="4677"/>
          <w:tab w:val="left" w:pos="8629"/>
        </w:tabs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нормативного  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акта, по которому были проведены публичные обсуждения: 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Pr="00B826B3" w:rsidRDefault="00B826B3" w:rsidP="00DD2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6B3">
        <w:rPr>
          <w:rFonts w:ascii="Times New Roman" w:hAnsi="Times New Roman" w:cs="Times New Roman"/>
          <w:sz w:val="28"/>
          <w:szCs w:val="28"/>
        </w:rPr>
        <w:t>Проект закона Ивановской области «О внесении</w:t>
      </w:r>
      <w:r w:rsidR="00621ED1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За</w:t>
      </w:r>
      <w:r w:rsidR="00622DCB">
        <w:rPr>
          <w:rFonts w:ascii="Times New Roman" w:hAnsi="Times New Roman" w:cs="Times New Roman"/>
          <w:sz w:val="28"/>
          <w:szCs w:val="28"/>
        </w:rPr>
        <w:t xml:space="preserve">кон </w:t>
      </w:r>
      <w:r w:rsidRPr="00B826B3">
        <w:rPr>
          <w:rFonts w:ascii="Times New Roman" w:hAnsi="Times New Roman" w:cs="Times New Roman"/>
          <w:sz w:val="28"/>
          <w:szCs w:val="28"/>
        </w:rPr>
        <w:t>Ивановской области «Об организации транспортного обслуживания населения на территории Ивановской области»</w:t>
      </w:r>
    </w:p>
    <w:p w:rsidR="00B826B3" w:rsidRDefault="00B826B3" w:rsidP="00622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Общие сроки проведения публичных консультаций: </w:t>
      </w:r>
    </w:p>
    <w:p w:rsidR="00622DCB" w:rsidRPr="00622DCB" w:rsidRDefault="00621ED1" w:rsidP="00622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27.03.2019-10</w:t>
      </w:r>
      <w:r w:rsidR="00622DCB" w:rsidRPr="00622D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4.2019</w:t>
      </w:r>
    </w:p>
    <w:p w:rsidR="00B826B3" w:rsidRDefault="00B826B3" w:rsidP="00622DCB">
      <w:pPr>
        <w:pStyle w:val="ConsPlusNonformat"/>
        <w:tabs>
          <w:tab w:val="left" w:pos="9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Цель и задачи организации и проведения публичных консультаций: 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826B3" w:rsidRDefault="00B826B3" w:rsidP="00B826B3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в проекте нормативного правового акта положений, которые создают необоснованные административные барьеры </w:t>
      </w:r>
      <w:r w:rsidR="008B3C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ограничивают возможности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 проекте нормативного правового акта положений, которые приводят к увеличению издержек субъектов предпринимательской деятельности.</w:t>
      </w:r>
    </w:p>
    <w:p w:rsidR="00B826B3" w:rsidRDefault="00B826B3" w:rsidP="00B826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позиции субъектов предпринимательской деятельности, органов местного самоуправления Ивановской области по разработанному проекту нормативного правового акта.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Проведенные формы публичных обсуждений: 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091"/>
      </w:tblGrid>
      <w:tr w:rsidR="00B826B3" w:rsidTr="00B826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публичных  обсуждений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 публичных обсуждений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 количество участников</w:t>
            </w:r>
          </w:p>
        </w:tc>
      </w:tr>
      <w:tr w:rsidR="00B826B3" w:rsidTr="00B826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3C7712" w:rsidP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Сбор мнений </w:t>
            </w:r>
            <w:r w:rsidR="00512C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участников</w:t>
            </w:r>
            <w:r w:rsidR="008B3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12C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публичных </w:t>
            </w:r>
            <w:r w:rsidR="00512C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консультаций </w:t>
            </w:r>
            <w:r w:rsidR="00B826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 к рассмотрению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B3" w:rsidRDefault="00621E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27.03</w:t>
            </w:r>
            <w:r w:rsidR="00B826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622D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10.04</w:t>
            </w:r>
            <w:r w:rsidR="00622D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621E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B826B3" w:rsidTr="00B826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C72A7" w:rsidP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2. </w:t>
            </w:r>
            <w:r w:rsidR="00B826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целевой рассылки анкет с целью определения мнения субъектов предпринимательской деятельности о проекте нормативного правового акта и учета полученной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1" w:rsidRDefault="00621ED1" w:rsidP="00621E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27.03.2019-     10.04.2019</w:t>
            </w:r>
          </w:p>
          <w:p w:rsidR="00B826B3" w:rsidRDefault="00B826B3" w:rsidP="00622D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DD27C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826B3" w:rsidTr="00B826B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 w:rsidP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Проведение опроса среди органов местного самоуправления Ивановской области с целью выяснения мнения о проекте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1" w:rsidRDefault="00621ED1" w:rsidP="00621E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27.03.2019-     10.04.2019</w:t>
            </w:r>
          </w:p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</w:tr>
    </w:tbl>
    <w:p w:rsidR="00622DCB" w:rsidRDefault="00622DCB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 участников публичных обсуждений:                               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Общее количество участников публичных консультаций:                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7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D27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публичных консультаций.                                   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публичных  консультаций по основным целевым группам:                                                                 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375"/>
      </w:tblGrid>
      <w:tr w:rsidR="00B826B3" w:rsidTr="00B826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целевой группы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участников, входящих в данную целевую группу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от общего количества участников, %</w:t>
            </w:r>
          </w:p>
        </w:tc>
      </w:tr>
      <w:tr w:rsidR="00B826B3" w:rsidTr="00B826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 w:rsidP="00D10A1B">
            <w:pPr>
              <w:pStyle w:val="ConsPlusNonformat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Субъекты предпринимательской деятельности (индивидуальные предприниматели и юридические лица, осуществляющие пассажирские перевозки)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DD27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6D5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12,5 </w:t>
            </w:r>
            <w:r w:rsidR="00B826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B826B3" w:rsidTr="00B826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 w:rsidP="00D10A1B">
            <w:pPr>
              <w:pStyle w:val="ConsPlusNonformat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Органы местного самоуправления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6D5358" w:rsidP="004D42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84,4</w:t>
            </w:r>
            <w:r w:rsidR="00B826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B826B3" w:rsidTr="00B826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 w:rsidP="00D10A1B">
            <w:pPr>
              <w:pStyle w:val="ConsPlusNonformat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Общественные организации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622D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6D5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3,1 </w:t>
            </w:r>
            <w:r w:rsidR="00B826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</w:tbl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Результаты анализа опросных листов (закрытые вопросы, анкетирование): </w:t>
      </w:r>
    </w:p>
    <w:p w:rsidR="00804867" w:rsidRDefault="00B826B3" w:rsidP="00B82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проведения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консультаций 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867">
        <w:rPr>
          <w:rFonts w:ascii="Times New Roman" w:hAnsi="Times New Roman" w:cs="Times New Roman"/>
          <w:sz w:val="28"/>
          <w:szCs w:val="28"/>
        </w:rPr>
        <w:t xml:space="preserve">размещения </w:t>
      </w:r>
    </w:p>
    <w:p w:rsidR="004D42FE" w:rsidRDefault="00804867" w:rsidP="00804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Департамента дорожного хозяйства и транспорта Ивановской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уведомления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</w:t>
      </w:r>
      <w:r w:rsidR="008B3C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опросным листом,  </w:t>
      </w:r>
      <w:r w:rsidR="00B826B3">
        <w:rPr>
          <w:rFonts w:ascii="Times New Roman" w:hAnsi="Times New Roman" w:cs="Times New Roman"/>
          <w:sz w:val="28"/>
          <w:szCs w:val="28"/>
        </w:rPr>
        <w:t>целевой рассылки анкет, проведения опроса среди органов местного самоуправления Ивановской области</w:t>
      </w:r>
      <w:r w:rsidR="00111F58">
        <w:rPr>
          <w:rFonts w:ascii="Times New Roman" w:hAnsi="Times New Roman" w:cs="Times New Roman"/>
          <w:sz w:val="28"/>
          <w:szCs w:val="28"/>
        </w:rPr>
        <w:t xml:space="preserve"> субъектами опроса были высказаны различные мнения.</w:t>
      </w:r>
    </w:p>
    <w:p w:rsidR="00FD3D6D" w:rsidRDefault="002C7E92" w:rsidP="00FD3D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органов местного самоуправления</w:t>
      </w:r>
      <w:r w:rsidR="004D42FE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 xml:space="preserve"> поддержали законопроект, считают, что принятие закона позволит повысить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оказываемых на территории Ивановской области  транспортных услуг в области регулярных пассажирских перевозок.</w:t>
      </w:r>
      <w:r w:rsidR="008B3C79">
        <w:rPr>
          <w:rFonts w:ascii="Times New Roman" w:hAnsi="Times New Roman" w:cs="Times New Roman"/>
          <w:sz w:val="28"/>
          <w:szCs w:val="28"/>
        </w:rPr>
        <w:t xml:space="preserve"> </w:t>
      </w:r>
      <w:r w:rsidR="001417FF">
        <w:rPr>
          <w:rFonts w:ascii="Times New Roman" w:hAnsi="Times New Roman" w:cs="Times New Roman"/>
          <w:sz w:val="28"/>
          <w:szCs w:val="28"/>
        </w:rPr>
        <w:t>А</w:t>
      </w:r>
      <w:r w:rsidR="004740F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417FF">
        <w:rPr>
          <w:rFonts w:ascii="Times New Roman" w:hAnsi="Times New Roman" w:cs="Times New Roman"/>
          <w:sz w:val="28"/>
          <w:szCs w:val="28"/>
        </w:rPr>
        <w:t xml:space="preserve">Родниковского муниципального района полагает установление требования </w:t>
      </w:r>
      <w:r w:rsidR="008B3C79">
        <w:rPr>
          <w:rFonts w:ascii="Times New Roman" w:hAnsi="Times New Roman" w:cs="Times New Roman"/>
          <w:sz w:val="28"/>
          <w:szCs w:val="28"/>
        </w:rPr>
        <w:br/>
      </w:r>
      <w:r w:rsidR="001417FF">
        <w:rPr>
          <w:rFonts w:ascii="Times New Roman" w:hAnsi="Times New Roman" w:cs="Times New Roman"/>
          <w:sz w:val="28"/>
          <w:szCs w:val="28"/>
        </w:rPr>
        <w:t xml:space="preserve">к сроку эксплуатации транспортных средств нецелесообразным; администрация Палехского муниципального района воздержалась </w:t>
      </w:r>
      <w:r w:rsidR="00EE0B58">
        <w:rPr>
          <w:rFonts w:ascii="Times New Roman" w:hAnsi="Times New Roman" w:cs="Times New Roman"/>
          <w:sz w:val="28"/>
          <w:szCs w:val="28"/>
        </w:rPr>
        <w:t>п</w:t>
      </w:r>
      <w:r w:rsidR="001417FF">
        <w:rPr>
          <w:rFonts w:ascii="Times New Roman" w:hAnsi="Times New Roman" w:cs="Times New Roman"/>
          <w:sz w:val="28"/>
          <w:szCs w:val="28"/>
        </w:rPr>
        <w:t>о инициативе, устанавливающей требования к экологическим характеристикам и к сроку эксплуатации с года выпуска транспортных средств, которые предполагается использовать для осуществления регулярных перевозок.</w:t>
      </w:r>
    </w:p>
    <w:p w:rsidR="004A6064" w:rsidRDefault="001417FF" w:rsidP="00FD3D6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Субъекты</w:t>
      </w:r>
      <w:r w:rsidR="004D42FE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111F58">
        <w:rPr>
          <w:rFonts w:ascii="Times New Roman" w:hAnsi="Times New Roman" w:cs="Times New Roman"/>
          <w:sz w:val="28"/>
          <w:szCs w:val="28"/>
        </w:rPr>
        <w:t>, принявших</w:t>
      </w:r>
      <w:r w:rsidR="00B826B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B3C79">
        <w:rPr>
          <w:rFonts w:ascii="Times New Roman" w:hAnsi="Times New Roman" w:cs="Times New Roman"/>
          <w:sz w:val="28"/>
          <w:szCs w:val="28"/>
        </w:rPr>
        <w:br/>
      </w:r>
      <w:r w:rsidR="00B826B3">
        <w:rPr>
          <w:rFonts w:ascii="Times New Roman" w:hAnsi="Times New Roman" w:cs="Times New Roman"/>
          <w:sz w:val="28"/>
          <w:szCs w:val="28"/>
        </w:rPr>
        <w:t>в опросе</w:t>
      </w:r>
      <w:r w:rsidR="004D42FE">
        <w:rPr>
          <w:rFonts w:ascii="Times New Roman" w:hAnsi="Times New Roman" w:cs="Times New Roman"/>
          <w:sz w:val="28"/>
          <w:szCs w:val="28"/>
        </w:rPr>
        <w:t>,</w:t>
      </w:r>
      <w:r w:rsidR="008B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высказали различные мнения </w:t>
      </w:r>
      <w:r w:rsidR="004A6064">
        <w:rPr>
          <w:rFonts w:ascii="Times New Roman" w:hAnsi="Times New Roman" w:cs="Times New Roman"/>
          <w:sz w:val="28"/>
          <w:szCs w:val="28"/>
        </w:rPr>
        <w:t>по законопроекту. Одни субъекты предпринимательской деятельности сделали</w:t>
      </w:r>
      <w:r w:rsidR="00B826B3">
        <w:rPr>
          <w:rFonts w:ascii="Times New Roman" w:hAnsi="Times New Roman" w:cs="Times New Roman"/>
          <w:sz w:val="28"/>
          <w:szCs w:val="28"/>
        </w:rPr>
        <w:t xml:space="preserve"> вывод, что</w:t>
      </w:r>
      <w:r w:rsidR="008B3C79">
        <w:rPr>
          <w:rFonts w:ascii="Times New Roman" w:hAnsi="Times New Roman" w:cs="Times New Roman"/>
          <w:sz w:val="28"/>
          <w:szCs w:val="28"/>
        </w:rPr>
        <w:t xml:space="preserve"> </w:t>
      </w:r>
      <w:r w:rsidR="004A60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предлагаемо</w:t>
      </w:r>
      <w:r w:rsidR="008F08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 законопроектом </w:t>
      </w:r>
      <w:r w:rsidR="004A60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регулирование направлено на решение актуальных проблем в сфере пассажирских перевозок, другие – что предлагаемое регулирование носит репрессивный характер по отношению к перевозчикам.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 анализа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полученных  ответов  на  вопросы  для  обсуждения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(открытые вопросы): 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Таблица результатов публичных обсуждений 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8"/>
        <w:gridCol w:w="4116"/>
        <w:gridCol w:w="2911"/>
      </w:tblGrid>
      <w:tr w:rsidR="00B826B3" w:rsidTr="0084090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публичных обсуждений</w:t>
            </w:r>
          </w:p>
        </w:tc>
      </w:tr>
      <w:tr w:rsidR="002B747A" w:rsidTr="00AF55A0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субъекта публичных обсуждений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Высказанное мнение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Позиция регулирующего органа</w:t>
            </w:r>
          </w:p>
        </w:tc>
      </w:tr>
      <w:tr w:rsidR="002B747A" w:rsidTr="00AF55A0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4A6064" w:rsidP="00FD3D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FD3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</w:t>
            </w:r>
            <w:r w:rsidR="00B826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рган</w:t>
            </w:r>
            <w:r w:rsidR="00FD3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B826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местного самоуправления Ивановской области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FD3D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Поддержали позицию регулирующего органа,</w:t>
            </w:r>
            <w:r w:rsidR="00B826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замечаний и предложений не имеется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Солидарная</w:t>
            </w:r>
          </w:p>
        </w:tc>
      </w:tr>
      <w:tr w:rsidR="002B747A" w:rsidTr="00AF55A0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5A" w:rsidRDefault="00F75E5A" w:rsidP="00FD3D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4A6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Родниковского муниципального района Ивановской области</w:t>
            </w:r>
          </w:p>
          <w:p w:rsidR="00F75E5A" w:rsidRDefault="00F75E5A" w:rsidP="00FD3D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5E5A" w:rsidRDefault="00F75E5A" w:rsidP="00FD3D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5E5A" w:rsidRDefault="00F75E5A" w:rsidP="00FD3D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5A" w:rsidRDefault="004A6064" w:rsidP="008409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Полагает</w:t>
            </w:r>
            <w:r w:rsidR="008B3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требования к сроку эксплуатации транспортных средств нецелесообразным, поскольку это может привести к прекращению регулярных перевозок пассажиров и багажа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FE" w:rsidRDefault="00840901" w:rsidP="008409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Замечание отклоняется, поскольку никаких аргументов не приводится. </w:t>
            </w:r>
          </w:p>
          <w:p w:rsidR="00097BFE" w:rsidRDefault="00097BFE" w:rsidP="008409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97BFE" w:rsidRDefault="00097BFE" w:rsidP="008409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97BFE" w:rsidRDefault="00097BFE" w:rsidP="008409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5E5A" w:rsidRDefault="00840901" w:rsidP="008409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Данное требование устанавливается в целях повышения качества пассажирских перевозок.</w:t>
            </w:r>
          </w:p>
        </w:tc>
      </w:tr>
      <w:tr w:rsidR="002B747A" w:rsidTr="00AF55A0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5A" w:rsidRDefault="00F75E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="008409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Палехского муниципального района</w:t>
            </w:r>
          </w:p>
          <w:p w:rsidR="00F75E5A" w:rsidRDefault="00F75E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5A" w:rsidRDefault="00231947" w:rsidP="00231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целом законопроект одобрен. Однако </w:t>
            </w:r>
            <w:r w:rsidR="00840901">
              <w:rPr>
                <w:rFonts w:ascii="Times New Roman" w:hAnsi="Times New Roman" w:cs="Times New Roman"/>
                <w:sz w:val="28"/>
                <w:szCs w:val="28"/>
              </w:rPr>
              <w:t>воздержалась по инициативе, устанавливающей требования к экологическим характеристикам и к сроку эксплуатации с года выпуска транспортных средств, которые предполагается использовать для осуществления регулярных перевозок.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5A" w:rsidRDefault="00231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Замечание отклоняется, поскольку никаких аргументов не приводится. Данное требование устанавливается в целях повышения качества пассажирских перевозок.</w:t>
            </w:r>
          </w:p>
        </w:tc>
      </w:tr>
      <w:tr w:rsidR="002B747A" w:rsidTr="00AF55A0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69" w:rsidRDefault="00CD7C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Общественные организации Ивановской области –</w:t>
            </w:r>
          </w:p>
          <w:p w:rsidR="00CD7C69" w:rsidRDefault="00CD7C69" w:rsidP="00CD7C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Ивановская региональная общественная организация «Альянс Ивановских перевозчиков»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72" w:rsidRDefault="00231947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Полагает, что законопроект не отвечает целям и задачам правового регулирования. Предлагаемые меры носят репрессивный характер по отношению к перевозчикам; формируется правовая модель</w:t>
            </w:r>
            <w:r w:rsidR="00877D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заведомой виновности любого перевозчика. В частности, не согласны с пунктами 1, 2, 4, 8 части 1 статьи 19.2</w:t>
            </w:r>
            <w:r w:rsidR="00C528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проекта закона в связи со следующим:</w:t>
            </w:r>
          </w:p>
          <w:p w:rsidR="00C528A6" w:rsidRDefault="00C528A6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пункту 1 части 1 статьи 19.2 проекта закона:</w:t>
            </w:r>
          </w:p>
          <w:p w:rsidR="00C528A6" w:rsidRDefault="00795711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528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читают, что количественный показатель 3 минуты для муниципальных маршрутов является критически низким. В условиях сложной дорожной обстановки, регулярных массовых пробок на основных городских магистралях, резко увеличивающихся в случаях ДТП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отклонения</w:t>
            </w:r>
            <w:r w:rsidR="00C528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proofErr w:type="gramStart"/>
            <w:r w:rsidR="00C528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расписания  (</w:t>
            </w:r>
            <w:proofErr w:type="gramEnd"/>
            <w:r w:rsidR="00C528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3-5 минут) имеются у любого без исключения перевозчика. Таким образом, </w:t>
            </w:r>
            <w:proofErr w:type="gramStart"/>
            <w:r w:rsidR="00C528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формируется  </w:t>
            </w:r>
            <w:r w:rsidR="00C528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</w:t>
            </w:r>
            <w:proofErr w:type="gramEnd"/>
            <w:r w:rsidR="00C528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презумпция виновности», позволяющая контролирующим органам применять меры административной ответственности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Фактически, законопроект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предусматривает  создание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определенного «административного оружия» против перевозчиков, так как небольшие нарушения графика, вызванные в том числе и дорожными пробками, поломками, сторонними ДТП и иными объективными ситуациями возможно найти два раза в течение 90 дней у абсолютно любого, даже самого законопослушного хозяйствующего субъекта;</w:t>
            </w:r>
          </w:p>
          <w:p w:rsidR="00795711" w:rsidRDefault="00795711" w:rsidP="007957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пункту 2 части 1 статьи 19.2 проекта закона:</w:t>
            </w:r>
          </w:p>
          <w:p w:rsidR="00C528A6" w:rsidRDefault="00795711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Движение без посадки или высадки пассажиров в промежуточных остановочных пунктах, как правило</w:t>
            </w:r>
            <w:r w:rsidR="005522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вызвано </w:t>
            </w:r>
            <w:r w:rsidR="00466A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неудовлетворительной схемой расположения остановочных пунктов. Все без исключения остановочные пункты на крупных городских улицах организованы по принципу «все виды транспорта (маршруты) – одна остановка», тогда как в Москве и других крупных городах остановочные пункты разделены, что позволяет развести транспорт разны</w:t>
            </w:r>
            <w:r w:rsidR="005522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466A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маршрутов и не создает пробки на остановке</w:t>
            </w:r>
            <w:r w:rsidR="005522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Введение данного положения является заведомо неисполнимым;</w:t>
            </w:r>
          </w:p>
          <w:p w:rsidR="005522C6" w:rsidRDefault="005522C6" w:rsidP="005522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пункту 4 части 1 статьи 19.2 проекта закона:</w:t>
            </w:r>
          </w:p>
          <w:p w:rsidR="00C528A6" w:rsidRDefault="005522C6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 из п</w:t>
            </w:r>
            <w:r w:rsidR="002F49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ринципа единства правового регул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ирования,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отраженного в статье 76 Конституции Российской Федерации</w:t>
            </w:r>
            <w:r w:rsidR="00093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дополнительные основа</w:t>
            </w:r>
            <w:r w:rsidR="002F49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ия для прекращения или </w:t>
            </w:r>
            <w:r w:rsidR="00093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приостановления действия свидетельства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(которые по существу являются мерой ответственности), должны учитывать </w:t>
            </w:r>
            <w:r w:rsidR="002F49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специфику того или иного региона. За одни и те же типичные нарушения не может наступать разная ответственность в разных субъектах РФ.</w:t>
            </w:r>
          </w:p>
          <w:p w:rsidR="002F49EA" w:rsidRDefault="0076702D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проекте закона Ивановской области речь идет о типичных нарушениях: нарушение расписания, изменение маршрута, передача карт маршрута иному лицу, привлечение </w:t>
            </w:r>
            <w:r w:rsidR="00093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дминистративной ответственности по ряду </w:t>
            </w:r>
            <w:r w:rsidR="002F49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КоАП РФ. Указанные нарушения имеют одинаковую степень общественной опасности как для Ивановской области, так и для иных субъектов Российской Федерации. Тем не менее, федеральный законодатель не включил данные обстоятельства в число оснований для прекращения или приостановления действия свидетельства об осуществлении перевозок по маршруту регулярных перевозок. В пояснительной записке к проекту закона не сказано, какая именно специфическая ситуация в Ивановской области, в отличие от рынка пассажирских перевозок в других субъектах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РФ, </w:t>
            </w:r>
            <w:r w:rsidR="00A145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требует</w:t>
            </w:r>
            <w:r w:rsidR="00A145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приняти</w:t>
            </w:r>
            <w:r w:rsidR="00A145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A93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подобного рода мер.</w:t>
            </w:r>
            <w:r w:rsidR="001339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Проект закона направлен на то, чтобы ввести ответственность там, где она не вводится федеральным законом. Те малозначительные обстоятельства, которые согласно законодательству Российской Федерации не являются основанием для</w:t>
            </w:r>
            <w:r w:rsidR="00102D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прекращения или приостановления действия свидетельства, в Ивановской области предлагается</w:t>
            </w:r>
            <w:r w:rsidR="002F49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считать общественно опасными. Фактически речь идет о том, чтобы создать дополнительный инструмент давления на </w:t>
            </w:r>
            <w:r w:rsidR="00093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коммерческие </w:t>
            </w:r>
            <w:r w:rsidR="002F49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 путем «криминализации» различны</w:t>
            </w:r>
            <w:r w:rsidR="00093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2F49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ситуаций, за которые в федеральном законе не предусмотрена ответственность   в виде лишения права </w:t>
            </w:r>
            <w:r w:rsidR="00093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2F49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существлять законную</w:t>
            </w:r>
            <w:r w:rsidR="00093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перевозку по маршруту;</w:t>
            </w:r>
          </w:p>
          <w:p w:rsidR="0009366A" w:rsidRDefault="0009366A" w:rsidP="00093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 </w:t>
            </w:r>
            <w:r w:rsidR="000661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подпункту «а»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пункта 8 части 1 статьи 19.2 проекта закона:</w:t>
            </w:r>
          </w:p>
          <w:p w:rsidR="002F49EA" w:rsidRDefault="0006610F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Полагают, что нарушение требований налогового законодательства не влияет на вопросы безопасности дорожного движения. Нормативные правовые акты, регулирующие конкретные виды деятельности, не содержат положений о том, что нарушения налогового законодательства могут являться основанием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недопуска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хозяйствующего субъекта на соответствующий рынок. В данном случае перевозка пассажиров и багажа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автомобильным транспортом на территории Ивановской области </w:t>
            </w:r>
            <w:r w:rsidR="00BB1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являться исключением из общероссийской нормы.</w:t>
            </w:r>
          </w:p>
          <w:p w:rsidR="002F49EA" w:rsidRDefault="00BB1B06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Кроме того, полагают, что законопроект опасен потенциальным увеличением правонарушений коррупционной направленности.</w:t>
            </w:r>
          </w:p>
          <w:p w:rsidR="00CD7C69" w:rsidRDefault="00BB1B06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фиксации нарушений отсутствуют. </w:t>
            </w:r>
            <w:r w:rsidR="008F7B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доказательств «нарушений» будет осуществляться на глазок, методом простого визуального наблюдения. Предыдущие попытки ввести ответственность за подобного рода нарушения (предпринимались Админис</w:t>
            </w:r>
            <w:r w:rsidR="001C4C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траций города, когда вводились похожие условия в состав заключаемых договоров) сводились к тому, что на остановочном пункте дежурил «наблюдатель», который на глаз определял, сколько машин и когда поехало. Такой способ фиксации вызывает ряд претензий: во первых, даже самый объективный наблюдатель не в состоянии держать под контролем всю дорожную обстановку, особенно на оживленных остановочных пунктах в центре города;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1C4C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вторых</w:t>
            </w:r>
            <w:r w:rsidR="001C4C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никто не устанавливает точность применяемых при измерении приборов(речь идет о тех же часах, так как в законопроекте «порог» допустимого отставания от графика для муниципального транспорта составляет 3 минуты); </w:t>
            </w:r>
            <w:r w:rsidR="003926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bookmarkStart w:id="0" w:name="_GoBack"/>
            <w:bookmarkEnd w:id="0"/>
            <w:r w:rsidR="001C4C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в-третьих, составляемые таким образом документы о фиксации носят односторонний характер и не предусматривают возможности подачи замечаний или какого-либо оспаривания со стороны перевозчика. Фактически от «наблюдателя» будет зависеть судьба того или иного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свидетельства. Даже если будет найден</w:t>
            </w:r>
            <w:r w:rsidR="0089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объективный способ фиксации нарушений, то предлагаемые меры воздействия в любом случае являются не средством повышения качества услуг, а «административной дубинкой», которую можно применять к избранным лицам.</w:t>
            </w:r>
          </w:p>
          <w:p w:rsidR="0089322C" w:rsidRDefault="003A774B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Вводимые законопроектом нарушения можно найти у любого перевозчика, в связи                     с чем возрастает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опасность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избирательного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то есть от контролирующих органов фактически будет зависеть кто из субъектов останется на рынке, а кто будет вынужден перейти в разряд «нелегалов». Основания для таких решений всегда будут иметься, так как дело </w:t>
            </w:r>
            <w:r w:rsidR="008855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в злостной недисциплинирован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ности перевозчиков, а в несоответствии предлагаемых мер дорожной обстановке.</w:t>
            </w:r>
          </w:p>
          <w:p w:rsidR="00B42703" w:rsidRDefault="00885513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Предлагаемые </w:t>
            </w:r>
            <w:r w:rsidR="00B42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</w:t>
            </w:r>
            <w:r w:rsidR="00B42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закона меры абсолютно несоразмерны тяжести нарушений и влекут прекращение возможности легально о</w:t>
            </w:r>
            <w:r w:rsidR="00761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существлять предпринимательскую </w:t>
            </w:r>
            <w:r w:rsidR="00B42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деятельность из-за мелких проступков, за которые </w:t>
            </w:r>
            <w:r w:rsidR="00B42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целесообразнее было бы ввести иные</w:t>
            </w:r>
            <w:r w:rsidR="00761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не столь значительные, как прекращение действия </w:t>
            </w:r>
            <w:r w:rsidR="00E00D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свидетельства санкции.</w:t>
            </w:r>
          </w:p>
          <w:p w:rsidR="00E00D3A" w:rsidRDefault="00E00D3A" w:rsidP="001C4C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FE" w:rsidRDefault="00097BFE" w:rsidP="00097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Выводы участника публичных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консультаций 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аргументированы,               не содержат обоснований  и не подкреплены нормами права.</w:t>
            </w:r>
          </w:p>
          <w:p w:rsidR="00097BFE" w:rsidRDefault="00097BFE" w:rsidP="00097B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5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Проблема, на решение которой направлен законопроект, является актуальной. </w:t>
            </w:r>
          </w:p>
          <w:p w:rsidR="00D223A0" w:rsidRPr="00497F71" w:rsidRDefault="0007136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7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замечаний следует, что дополнительные</w:t>
            </w:r>
            <w:r w:rsidR="00C124BB" w:rsidRPr="00497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обстоятельства для прекращения </w:t>
            </w:r>
            <w:r w:rsidR="00BF4682" w:rsidRPr="00497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действия свидетельства в судебном порядке, предлагаемые законопроектом, определены как «малозначительные» и не соразмерны тяжести нарушений. При этом вывод о </w:t>
            </w:r>
            <w:r w:rsidR="00BF4682" w:rsidRPr="00497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малозначительности не содержит обоснований и не подкреплен нормами права.</w:t>
            </w:r>
          </w:p>
          <w:p w:rsidR="00D223A0" w:rsidRPr="00497F71" w:rsidRDefault="00D223A0" w:rsidP="00D223A0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>Вместе с тем, в</w:t>
            </w:r>
          </w:p>
          <w:p w:rsidR="00D223A0" w:rsidRPr="00497F71" w:rsidRDefault="00D223A0" w:rsidP="00D223A0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 5 статьи 29 </w:t>
            </w:r>
          </w:p>
          <w:p w:rsidR="00D223A0" w:rsidRPr="00497F71" w:rsidRDefault="00D223A0" w:rsidP="00D223A0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Федерального </w:t>
            </w:r>
          </w:p>
          <w:p w:rsidR="00D223A0" w:rsidRPr="00497F71" w:rsidRDefault="00D223A0" w:rsidP="00D223A0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закона от 13.07.2015 </w:t>
            </w:r>
            <w:proofErr w:type="gramStart"/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>№  №</w:t>
            </w:r>
            <w:proofErr w:type="gramEnd"/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220-ФЗ </w:t>
            </w:r>
          </w:p>
          <w:p w:rsidR="00D223A0" w:rsidRPr="00497F71" w:rsidRDefault="00D223A0" w:rsidP="00D223A0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>«Об организации</w:t>
            </w:r>
          </w:p>
          <w:p w:rsidR="00D223A0" w:rsidRPr="00497F71" w:rsidRDefault="00D223A0" w:rsidP="00D223A0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>регулярных перевозок</w:t>
            </w:r>
          </w:p>
          <w:p w:rsidR="00D223A0" w:rsidRPr="00497F71" w:rsidRDefault="00D223A0" w:rsidP="00D223A0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пассажиров и багажа   </w:t>
            </w:r>
          </w:p>
          <w:p w:rsidR="00D223A0" w:rsidRPr="00497F71" w:rsidRDefault="00D223A0" w:rsidP="00D223A0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автомобильным </w:t>
            </w:r>
          </w:p>
          <w:p w:rsidR="00071361" w:rsidRPr="00497F71" w:rsidRDefault="00D223A0" w:rsidP="00D304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определен перечень обстоятельств, являющихся основанием для </w:t>
            </w: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>обращения в суд с заявлением о прекращении действия свидетельства об осуществлении перевозок по маршруту регулярных перевозок. При этом</w:t>
            </w: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допускается установление законом субъекта Российской Федерации иных оснований для прекращения таких свидетельств в </w:t>
            </w: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судебном порядке </w:t>
            </w: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>в отношении межмуниципальных маршрутов регулярных перевозок и муниципальных маршрутов регулярных перевозок.</w:t>
            </w:r>
          </w:p>
          <w:p w:rsidR="00A402A1" w:rsidRPr="00497F71" w:rsidRDefault="00D30494" w:rsidP="00D304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Практика правовой регламентации дополнительных оснований прекращения </w:t>
            </w:r>
            <w:r w:rsidR="00A402A1"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действия </w:t>
            </w: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свидетельства</w:t>
            </w:r>
            <w:r w:rsidR="00A402A1"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осуществлении перевозок по маршруту регулярных перевозок</w:t>
            </w: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судебном порядке используется во многих субъектах Российской Федерации.</w:t>
            </w:r>
          </w:p>
          <w:p w:rsidR="00D30494" w:rsidRPr="00497F71" w:rsidRDefault="00A402A1" w:rsidP="00A4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проекта направлено на повышение качества и </w:t>
            </w:r>
            <w:proofErr w:type="gramStart"/>
            <w:r w:rsidRPr="00497F71">
              <w:rPr>
                <w:rFonts w:ascii="Times New Roman" w:hAnsi="Times New Roman" w:cs="Times New Roman"/>
                <w:sz w:val="28"/>
                <w:szCs w:val="28"/>
              </w:rPr>
              <w:t>эффективности  транспортного</w:t>
            </w:r>
            <w:proofErr w:type="gramEnd"/>
            <w:r w:rsidRPr="00497F71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населения на территории Ивановской области</w:t>
            </w:r>
            <w:r w:rsidR="00B713DB" w:rsidRPr="00497F71">
              <w:rPr>
                <w:rFonts w:ascii="Times New Roman" w:hAnsi="Times New Roman" w:cs="Times New Roman"/>
                <w:sz w:val="28"/>
                <w:szCs w:val="28"/>
              </w:rPr>
              <w:t>, обеспечение безопасности перевозки пассажиров</w:t>
            </w: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3DB" w:rsidRPr="00497F71" w:rsidRDefault="00B713DB" w:rsidP="00A4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регулярных перевозок пассажиров и багажа по расписанию</w:t>
            </w:r>
            <w:r w:rsidR="00497F71" w:rsidRPr="00497F71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предусмотрено</w:t>
            </w:r>
          </w:p>
          <w:p w:rsidR="00B713DB" w:rsidRPr="00497F71" w:rsidRDefault="00B713DB" w:rsidP="00A4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 xml:space="preserve">Правилами перевозок пассажиров и багажа автомобильным </w:t>
            </w:r>
            <w:r w:rsidRPr="00497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транспортом и городским наземным электрическим транспортом, утвержденными постановлением Правительства Российской Федерации от 14.02.2009 № 112</w:t>
            </w:r>
            <w:r w:rsidR="00497F71" w:rsidRPr="00497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D5D" w:rsidRDefault="00497F71" w:rsidP="00F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B713DB" w:rsidRPr="00497F71">
              <w:rPr>
                <w:rFonts w:ascii="Times New Roman" w:hAnsi="Times New Roman" w:cs="Times New Roman"/>
                <w:sz w:val="28"/>
                <w:szCs w:val="28"/>
              </w:rPr>
              <w:t xml:space="preserve"> есть данные требования перевозчики обязаны выполнять в обязательном порядке. </w:t>
            </w:r>
          </w:p>
          <w:p w:rsidR="00F74D5D" w:rsidRDefault="00F74D5D" w:rsidP="00F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Минтранса России от 31.01.2017 </w:t>
            </w:r>
            <w:r w:rsidR="00D33A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(далее – </w:t>
            </w:r>
            <w:r w:rsidR="00D33AD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-19-р) установлен уровень и показатели качества транспортного обслуживания  населения при осуществлении  перевозок пассажиров и багажа автомобильным транспортом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городским наземным электрическим транспортом по муниципальным, межмуниципальным, смежным, межрегиональным и международным маршрутам регулярных перевозок и их нормативные значения. Данным распоряжением установлен такой показатель качества, как надежность, который представляет собой характеристику</w:t>
            </w:r>
          </w:p>
          <w:p w:rsidR="00F6039B" w:rsidRDefault="00F6039B" w:rsidP="00F60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транспортного обслуживания населения, выраженную в стабильности получения услуг по перевозке пассажиров и багажа автомобильным транспортом и городским наземным электрическим транспортом по маршрутам регулярных перевозок и предсказуемости уровня их качества.</w:t>
            </w:r>
          </w:p>
          <w:p w:rsidR="0090746C" w:rsidRDefault="00F6039B" w:rsidP="0060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Одним из нормативных значений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надежности  </w:t>
            </w:r>
            <w:r w:rsidR="00D33ADD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D33ADD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распоряжению </w:t>
            </w:r>
            <w:r w:rsidR="00097B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3ADD">
              <w:rPr>
                <w:rFonts w:ascii="Times New Roman" w:hAnsi="Times New Roman" w:cs="Times New Roman"/>
                <w:sz w:val="28"/>
                <w:szCs w:val="28"/>
              </w:rPr>
              <w:t xml:space="preserve">№ НА-19-р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соблюдение расписания маршрутов </w:t>
            </w:r>
          </w:p>
          <w:p w:rsidR="00F74D5D" w:rsidRDefault="00F6039B" w:rsidP="0060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регулярных перевозок, то есть отправление каждого рейса </w:t>
            </w:r>
            <w:r w:rsidR="00D33ADD">
              <w:rPr>
                <w:rFonts w:ascii="Times New Roman" w:hAnsi="Times New Roman" w:cs="Times New Roman"/>
                <w:sz w:val="28"/>
                <w:szCs w:val="28"/>
              </w:rPr>
              <w:t>маршрута регулярных перевозок от каждого остановочного пункта, автовокзала и автостанции в соответствии с установленным расписанием либо в пределах 2 минут от указанного в расписании времени.</w:t>
            </w:r>
          </w:p>
          <w:p w:rsidR="00B713DB" w:rsidRDefault="00B713DB" w:rsidP="00B1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602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2255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 xml:space="preserve"> закона</w:t>
            </w:r>
            <w:proofErr w:type="gramEnd"/>
            <w:r w:rsidR="00602255">
              <w:rPr>
                <w:rFonts w:ascii="Times New Roman" w:hAnsi="Times New Roman" w:cs="Times New Roman"/>
                <w:sz w:val="28"/>
                <w:szCs w:val="28"/>
              </w:rPr>
              <w:t xml:space="preserve"> никак не затрудняют ведение предпринимательской деятельности </w:t>
            </w: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0746C">
              <w:rPr>
                <w:rFonts w:ascii="Times New Roman" w:hAnsi="Times New Roman" w:cs="Times New Roman"/>
                <w:sz w:val="28"/>
                <w:szCs w:val="28"/>
              </w:rPr>
              <w:t xml:space="preserve">не повлекут </w:t>
            </w:r>
            <w:r w:rsidR="00602255">
              <w:rPr>
                <w:rFonts w:ascii="Times New Roman" w:hAnsi="Times New Roman" w:cs="Times New Roman"/>
                <w:sz w:val="28"/>
                <w:szCs w:val="28"/>
              </w:rPr>
              <w:t>дополнительных расходных обязательств перевозчиков.</w:t>
            </w:r>
          </w:p>
          <w:p w:rsidR="00B12D34" w:rsidRDefault="00B12D34" w:rsidP="00B1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мер</w:t>
            </w:r>
            <w:r w:rsidR="006D0C2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</w:t>
            </w:r>
            <w:r w:rsidR="008B3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E6D">
              <w:rPr>
                <w:rFonts w:ascii="Times New Roman" w:hAnsi="Times New Roman" w:cs="Times New Roman"/>
                <w:sz w:val="28"/>
                <w:szCs w:val="28"/>
              </w:rPr>
              <w:t>дает возможность перевозчикам не соблюдать</w:t>
            </w:r>
            <w:r w:rsidR="008B3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C62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="00B17E6D">
              <w:rPr>
                <w:rFonts w:ascii="Times New Roman" w:hAnsi="Times New Roman" w:cs="Times New Roman"/>
                <w:sz w:val="28"/>
                <w:szCs w:val="28"/>
              </w:rPr>
              <w:t>ы, установленные</w:t>
            </w:r>
            <w:r w:rsidR="00654C6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законодательством.</w:t>
            </w:r>
          </w:p>
          <w:p w:rsidR="00B17E6D" w:rsidRPr="00497F71" w:rsidRDefault="00B17E6D" w:rsidP="00B1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Выбранный вариант решения проблемы является оптимальным и учитывает объективные причины, не зависящие от перевозчика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747A" w:rsidTr="00AF55A0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69" w:rsidRDefault="00CD7C69" w:rsidP="0022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ИП  </w:t>
            </w:r>
            <w:r w:rsidR="006022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Лачинов</w:t>
            </w:r>
            <w:proofErr w:type="gramEnd"/>
            <w:r w:rsidR="006022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Руслан </w:t>
            </w:r>
            <w:proofErr w:type="spellStart"/>
            <w:r w:rsidR="006022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Муслимович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69" w:rsidRDefault="00654C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проектом закона</w:t>
            </w:r>
            <w:r w:rsidR="006022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согласен.</w:t>
            </w:r>
          </w:p>
          <w:p w:rsidR="004F7316" w:rsidRDefault="00654C62" w:rsidP="00654C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Полагает, что принятие законопроекта позволит достигнуть поставленных целей. Считает выбранный вариант решения проблемы оптимальным, принятие законопроекта не повлияет на конкурентную среду и расстановку сил в отрасли.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69" w:rsidRDefault="00654C62" w:rsidP="00D874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Солидарная</w:t>
            </w:r>
          </w:p>
        </w:tc>
      </w:tr>
      <w:tr w:rsidR="00654C62" w:rsidTr="00AF55A0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62" w:rsidRDefault="00654C62" w:rsidP="006022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ТрансАвтоМед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62" w:rsidRDefault="00E725CD" w:rsidP="00E725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Полагает, что предлагаемое правовое регулирование направлено на решение проблемы в сфере пассажирских перевозок. Считает выбранный вариант решения проблемы оптимальным, принятие законопроекта не повлияет на конкурентную среду и расстановку сил в отрасли.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62" w:rsidRPr="004F7316" w:rsidRDefault="00DB1AFC" w:rsidP="00D874C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Солидарная</w:t>
            </w:r>
          </w:p>
        </w:tc>
      </w:tr>
      <w:tr w:rsidR="002B747A" w:rsidTr="00AF55A0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69" w:rsidRDefault="00CD7C69" w:rsidP="004B6B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«Экспресс-Лидер»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FC" w:rsidRDefault="00DB1AFC" w:rsidP="00A467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Полагает, что</w:t>
            </w:r>
            <w:r w:rsidR="002201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B3F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было бы оптимальным </w:t>
            </w:r>
            <w:r w:rsidR="00CA06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установить следующие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</w:t>
            </w:r>
            <w:r w:rsidR="00CA06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эксплуатации с года выпуска транспортных средств, которые предлагается использовать для осуществления регулярных </w:t>
            </w:r>
            <w:r w:rsidR="00CA06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перевозок: для автобусов малого класса (М2) – 7 лет, для автобусов малого класса (М3) – 10 лет, для автобусов среднего и большого класса (М3) – 10 лет в связи с тем, что</w:t>
            </w:r>
            <w:r w:rsidR="005B7A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перевозчики закупают большинство нового  трансп</w:t>
            </w:r>
            <w:r w:rsidR="004B6B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орта на условиях лизинга, сроком </w:t>
            </w:r>
            <w:r w:rsidR="005B7A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менее 3 лет- для автобусов малого класса, и не менее </w:t>
            </w:r>
            <w:r w:rsidR="008A5E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="005B7A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 –для автобусов среднего класса.</w:t>
            </w:r>
            <w:r w:rsidR="00BB3F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</w:t>
            </w:r>
            <w:r w:rsidR="00BB3F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</w:t>
            </w:r>
            <w:r w:rsidR="005B7A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редлагаемый проектом закона срок</w:t>
            </w:r>
            <w:r w:rsidR="00BB3F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новое транспортное средство</w:t>
            </w:r>
            <w:r w:rsidR="005B7A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окупит</w:t>
            </w:r>
            <w:r w:rsidR="00BB3F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стоимость лизинговых платежей</w:t>
            </w:r>
            <w:r w:rsidR="008A5E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выплачиваемых в течение 3-5 лет.</w:t>
            </w:r>
          </w:p>
          <w:p w:rsidR="003D459C" w:rsidRDefault="008A5E3B" w:rsidP="00A467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согласен с пунктом 1 части 1 статьи 19.2 проекта закона</w:t>
            </w:r>
            <w:r w:rsidR="008335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поскольку </w:t>
            </w:r>
            <w:r w:rsidR="003D4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из-за закрытого переезда, например, водитель может потерять от 5 до 15 минут. Полагает, что данная норма является субъективной, </w:t>
            </w:r>
            <w:r w:rsidR="00260A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будет являться «дубиной», которой всегда сможет воспользоваться организатор перевозок для досрочного прекращения свидетельства с целью «завести на рынок своих перевозчиков». Считает данную меру воздействия чрезмерно агрессивной. По пункту 10 части 1 статьи 19.2 законопроекта не возражает в случае увеличения сроков эксплуатации </w:t>
            </w:r>
            <w:r w:rsidR="002B0B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транспортных средств и указания</w:t>
            </w:r>
            <w:r w:rsidR="00260A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категории транспортного средства.</w:t>
            </w:r>
          </w:p>
          <w:p w:rsidR="003D459C" w:rsidRDefault="00260AFD" w:rsidP="00A467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Упущенной выгоды не прослеживается, но при принятии законопроекта перевозчики будут терять маршруты, на которых отработали много лет</w:t>
            </w:r>
            <w:r w:rsidR="006949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 учетом предлагаемых поправок к проекту закона все потенциальные адресаты регулирования окажутся в одинаковых условиях.</w:t>
            </w:r>
          </w:p>
          <w:p w:rsidR="002201D5" w:rsidRDefault="00471826" w:rsidP="00471826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</w:t>
            </w:r>
            <w:r w:rsidR="0022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201D5" w:rsidRDefault="002201D5" w:rsidP="00471826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13.07.2015</w:t>
            </w:r>
            <w:r w:rsidR="00471826"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220-ФЗ </w:t>
            </w:r>
          </w:p>
          <w:p w:rsidR="00471826" w:rsidRPr="00497F71" w:rsidRDefault="00471826" w:rsidP="00471826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>«Об организации</w:t>
            </w:r>
          </w:p>
          <w:p w:rsidR="00471826" w:rsidRPr="00497F71" w:rsidRDefault="00471826" w:rsidP="00471826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>регулярных перевозок</w:t>
            </w:r>
          </w:p>
          <w:p w:rsidR="00471826" w:rsidRPr="00497F71" w:rsidRDefault="00471826" w:rsidP="00471826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пассажиров и багажа   </w:t>
            </w:r>
          </w:p>
          <w:p w:rsidR="007A1E77" w:rsidRDefault="00471826" w:rsidP="007A1E77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автомобильным транспортом </w:t>
            </w:r>
          </w:p>
          <w:p w:rsidR="007A1E77" w:rsidRDefault="00471826" w:rsidP="007A1E77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городским наземным</w:t>
            </w:r>
          </w:p>
          <w:p w:rsidR="002201D5" w:rsidRDefault="00471826" w:rsidP="007A1E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электрическим транспортом </w:t>
            </w:r>
            <w:r w:rsidR="002201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Российской Федерации </w:t>
            </w:r>
            <w:r w:rsidR="002201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 внесении изменений </w:t>
            </w:r>
          </w:p>
          <w:p w:rsidR="00471826" w:rsidRDefault="00471826" w:rsidP="007A1E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отдельные законодательные акты Российской Федерации» </w:t>
            </w:r>
            <w:r w:rsidR="007A1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всецело регулирует отношения перевозчиков с организаторами перевозок регионов. Принятие каких-либо нормативных правовых актов на местном уровне, ущемляющих права перевозчиков, будет восприниматься перевозчиками с огромной </w:t>
            </w:r>
            <w:r w:rsidR="00A9361F">
              <w:rPr>
                <w:rFonts w:ascii="Times New Roman" w:eastAsia="Calibri" w:hAnsi="Times New Roman" w:cs="Times New Roman"/>
                <w:sz w:val="28"/>
                <w:szCs w:val="28"/>
              </w:rPr>
              <w:t>опаской.</w:t>
            </w:r>
          </w:p>
          <w:p w:rsidR="00DB1AFC" w:rsidRDefault="00DB1AFC" w:rsidP="007A1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остальным положениям законопроекта не возражает.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7" w:rsidRPr="00497F71" w:rsidRDefault="007A1E77" w:rsidP="007A1E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7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Представленные замечания отклоняются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силу следующего.</w:t>
            </w:r>
          </w:p>
          <w:p w:rsidR="002B747A" w:rsidRDefault="002B747A" w:rsidP="002B747A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</w:t>
            </w:r>
          </w:p>
          <w:p w:rsidR="002B747A" w:rsidRPr="00497F71" w:rsidRDefault="002B747A" w:rsidP="002B747A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частью</w:t>
            </w: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статьи 29 </w:t>
            </w:r>
          </w:p>
          <w:p w:rsidR="002B747A" w:rsidRPr="00497F71" w:rsidRDefault="002B747A" w:rsidP="002B747A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Федерального </w:t>
            </w:r>
          </w:p>
          <w:p w:rsidR="002B747A" w:rsidRPr="00497F71" w:rsidRDefault="002B747A" w:rsidP="002B747A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закона от 13.07.2015 №  </w:t>
            </w:r>
            <w:r w:rsidR="007D3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220-ФЗ </w:t>
            </w:r>
          </w:p>
          <w:p w:rsidR="002B747A" w:rsidRPr="00497F71" w:rsidRDefault="002B747A" w:rsidP="002B74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>допускается установление законом субъекта Российской Федерации иных оснований для прекращения свидетельств</w:t>
            </w:r>
            <w:r w:rsidR="007D3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38C6" w:rsidRPr="004F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осуществлении перево</w:t>
            </w:r>
            <w:r w:rsidR="00693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зок </w:t>
            </w:r>
            <w:r w:rsidR="006938C6" w:rsidRPr="004F7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маршруту регулярных</w:t>
            </w:r>
            <w:r w:rsidR="00693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3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перевозок</w:t>
            </w: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судебном порядке </w:t>
            </w:r>
            <w:r w:rsidRPr="00497F71">
              <w:rPr>
                <w:rFonts w:ascii="Times New Roman" w:hAnsi="Times New Roman" w:cs="Times New Roman"/>
                <w:sz w:val="28"/>
                <w:szCs w:val="28"/>
              </w:rPr>
              <w:t>в отношении межмуниципальных маршрутов регулярных перевозок и муниципальных маршрутов регулярных перевозок.</w:t>
            </w:r>
          </w:p>
          <w:p w:rsidR="00CD7C69" w:rsidRPr="002B747A" w:rsidRDefault="002B747A" w:rsidP="002B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7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дополнительных обстоятельств для обращения в суд с заявлением о прекращении действия </w:t>
            </w:r>
            <w:proofErr w:type="gramStart"/>
            <w:r w:rsidRPr="002B747A">
              <w:rPr>
                <w:rFonts w:ascii="Times New Roman" w:hAnsi="Times New Roman" w:cs="Times New Roman"/>
                <w:sz w:val="28"/>
                <w:szCs w:val="28"/>
              </w:rPr>
              <w:t>свидетельства  об</w:t>
            </w:r>
            <w:proofErr w:type="gramEnd"/>
            <w:r w:rsidRPr="002B747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осуществлении перевозок по маршруту регулярных перевозок позволит повысить качество и эффективность  транспортного обслуживания населения на территории Ивановской области, будет способствовать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Pr="002B747A">
              <w:rPr>
                <w:rFonts w:ascii="Times New Roman" w:hAnsi="Times New Roman" w:cs="Times New Roman"/>
                <w:sz w:val="28"/>
                <w:szCs w:val="28"/>
              </w:rPr>
              <w:t>безопасности перевозки пассажиров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3A8" w:rsidRDefault="002B747A" w:rsidP="007D3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Практика правовой регламентации дополнительных оснований прекращения действия свидетельства об осуществлении перевозок по маршруту регулярных перевозок в судебном порядке используется </w:t>
            </w:r>
            <w:r w:rsidRPr="00497F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 многих субъектах Российской Федерации.</w:t>
            </w:r>
            <w:r w:rsidR="00694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Установление меры ответственности необходимо в целях соблюдения</w:t>
            </w:r>
            <w:r w:rsidR="007D3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перевозчиками</w:t>
            </w:r>
            <w:r w:rsidR="00694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 и норм, установленных но</w:t>
            </w:r>
            <w:r w:rsidR="007D3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рмативными правовыми актами. </w:t>
            </w:r>
            <w:r w:rsidR="00694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33A8">
              <w:rPr>
                <w:rFonts w:ascii="Times New Roman" w:eastAsia="Calibri" w:hAnsi="Times New Roman" w:cs="Times New Roman"/>
                <w:sz w:val="28"/>
                <w:szCs w:val="28"/>
              </w:rPr>
              <w:t>В связи с отсутствием</w:t>
            </w:r>
            <w:r w:rsidR="00694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меры ответственности </w:t>
            </w:r>
            <w:r w:rsidR="007D3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перевозчики часто не соблюдают </w:t>
            </w:r>
            <w:r w:rsidR="00694932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зако</w:t>
            </w:r>
            <w:r w:rsidR="007D33A8">
              <w:rPr>
                <w:rFonts w:ascii="Times New Roman" w:eastAsia="Calibri" w:hAnsi="Times New Roman" w:cs="Times New Roman"/>
                <w:sz w:val="28"/>
                <w:szCs w:val="28"/>
              </w:rPr>
              <w:t>нодательства.</w:t>
            </w:r>
          </w:p>
          <w:p w:rsidR="002B747A" w:rsidRPr="007D33A8" w:rsidRDefault="007D33A8" w:rsidP="007D3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требования к сроку эксплуатации с года выпуска транспортных средств, которые предлагается использовать для осуществления регулярных перевозок, позволит повысить качество транспортного обслуживания и обеспечит безопасность пассажирских перевозок.</w:t>
            </w:r>
          </w:p>
        </w:tc>
      </w:tr>
      <w:tr w:rsidR="002B747A" w:rsidTr="007D33A8">
        <w:trPr>
          <w:trHeight w:val="2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69" w:rsidRDefault="00D874C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ТрансС</w:t>
            </w:r>
            <w:r w:rsidR="00CD7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ервис</w:t>
            </w:r>
            <w:proofErr w:type="spellEnd"/>
            <w:r w:rsidR="00CD7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9" w:rsidRDefault="00E725CD" w:rsidP="007712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Полагает, что предлагаемое регулирование направлено на усиление контроля за перевозчиками</w:t>
            </w:r>
            <w:r w:rsidR="002C7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Считает, </w:t>
            </w:r>
            <w:proofErr w:type="gramStart"/>
            <w:r w:rsidR="002C7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 выбранный</w:t>
            </w:r>
            <w:proofErr w:type="gramEnd"/>
            <w:r w:rsidR="002C7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вариант решения проблемы не является оптимальным, принятие законопроекта </w:t>
            </w:r>
            <w:r w:rsidR="007712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приведет к вынужденному отказу </w:t>
            </w:r>
            <w:r w:rsidR="007712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перевозчиков от выполнения (обслуживания) социально-значимых маршрутов, положительно повлияет на нелегальных перевозчиков.</w:t>
            </w:r>
            <w:r w:rsidR="00582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Полагает, что для вступления в силу предлагаемого регулирования потребуется переходный период сроком от 3 до 5 лет.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8" w:rsidRDefault="007D33A8" w:rsidP="007D33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Замечания не подлежат удовлетворению. </w:t>
            </w:r>
          </w:p>
          <w:p w:rsidR="007D33A8" w:rsidRDefault="007D33A8" w:rsidP="007D33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Выводы участника публичных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консультаций 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аргументированы, не содержат обоснований и 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подкреплены нормами права.</w:t>
            </w:r>
          </w:p>
          <w:p w:rsidR="00CD7C69" w:rsidRDefault="007D33A8" w:rsidP="007D33A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A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Проблема, на решение которой направлен законопроект, является актуальной. </w:t>
            </w:r>
          </w:p>
          <w:p w:rsidR="007D33A8" w:rsidRDefault="007D33A8" w:rsidP="007D33A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Выбранный вариант решения проблемы является оптимальным и учитывает объективные причи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ны, не зависящие от перевозчика. </w:t>
            </w:r>
          </w:p>
          <w:p w:rsidR="007D33A8" w:rsidRDefault="007D33A8" w:rsidP="007D3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Предлагаемое регулирование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по нашему мнению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не повлияет на конкурентную среду в отрасли и не будет способствовать необоснованному 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нению расстановки сил в отрасли.  Принятие законопроекта не приведет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к избыт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очным действиям                            и не ограничит перевозчиков.</w:t>
            </w:r>
          </w:p>
          <w:p w:rsidR="007D33A8" w:rsidRDefault="007D33A8" w:rsidP="007D33A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еобоснованных полномочий исполнительных органов государственной власти и должностных лиц законопроект также не устанавливает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3C79" w:rsidRDefault="007D33A8" w:rsidP="007D33A8">
            <w:pPr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нового регулирования не приведет к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вынужденному отказу перевозчиков от обслуживания социально-значимых маршрутов. </w:t>
            </w:r>
            <w:r w:rsidR="00A936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действующими реестрами маршрутов регулярных перевозок не предусмотрено разделение, включенных в них маршрутов на социально-значимые и иные. Во-вторых, действующим законодательством не предусмотрены критерии, по которым можно отнести маршрут к социально-значимому. </w:t>
            </w:r>
            <w:r w:rsidR="008B3C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В-третьих, на любых маршрутах (даже если они будут отнесены </w:t>
            </w:r>
            <w:r w:rsidR="008B3C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к социально-значимым), необходимо соблюдение перевозчиками установленных требований (соблюдение расписания,</w:t>
            </w:r>
            <w:r w:rsidR="008B3C79">
              <w:rPr>
                <w:rFonts w:ascii="Times New Roman" w:hAnsi="Times New Roman" w:cs="Times New Roman"/>
                <w:sz w:val="28"/>
                <w:szCs w:val="28"/>
              </w:rPr>
              <w:t xml:space="preserve"> пути следования, т.д.)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3C79">
              <w:rPr>
                <w:rFonts w:ascii="Times New Roman" w:hAnsi="Times New Roman" w:cs="Times New Roman"/>
                <w:sz w:val="28"/>
                <w:szCs w:val="28"/>
              </w:rPr>
              <w:br/>
              <w:t>В связи с этим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невозможно применить исключения </w:t>
            </w:r>
            <w:r w:rsidR="008B3C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к перев</w:t>
            </w:r>
            <w:r w:rsidR="008B3C79">
              <w:rPr>
                <w:rFonts w:ascii="Times New Roman" w:hAnsi="Times New Roman" w:cs="Times New Roman"/>
                <w:sz w:val="28"/>
                <w:szCs w:val="28"/>
              </w:rPr>
              <w:t xml:space="preserve">озчикам, обслуживающим </w:t>
            </w:r>
            <w:r w:rsidRPr="00625A4D">
              <w:rPr>
                <w:rFonts w:ascii="Times New Roman" w:hAnsi="Times New Roman" w:cs="Times New Roman"/>
                <w:sz w:val="28"/>
                <w:szCs w:val="28"/>
              </w:rPr>
              <w:t>социально-значимые маршруты.</w:t>
            </w:r>
          </w:p>
          <w:p w:rsidR="007D33A8" w:rsidRPr="008B3C79" w:rsidRDefault="007D33A8" w:rsidP="007D33A8">
            <w:pPr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C79">
              <w:rPr>
                <w:rFonts w:ascii="Times New Roman" w:hAnsi="Times New Roman" w:cs="Times New Roman"/>
                <w:sz w:val="28"/>
                <w:szCs w:val="28"/>
              </w:rPr>
              <w:t xml:space="preserve">Меры воздействия </w:t>
            </w:r>
            <w:r w:rsidR="008B3C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3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нелегальным перевозчикам предусмотрены действующим федеральным законодательством (Федеральный закон от 13.07.2015 </w:t>
            </w:r>
            <w:r w:rsidR="008B3C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3C79">
              <w:rPr>
                <w:rFonts w:ascii="Times New Roman" w:hAnsi="Times New Roman" w:cs="Times New Roman"/>
                <w:sz w:val="28"/>
                <w:szCs w:val="28"/>
              </w:rPr>
              <w:t>№ 220-ФЗ, КоАП РФ).</w:t>
            </w:r>
          </w:p>
          <w:p w:rsidR="007D33A8" w:rsidRPr="008B3C79" w:rsidRDefault="007D33A8" w:rsidP="008B3C79">
            <w:pPr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Список участников публичных обсуждений  </w:t>
      </w:r>
    </w:p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830"/>
        <w:gridCol w:w="6147"/>
      </w:tblGrid>
      <w:tr w:rsidR="00B826B3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участника публичных обсуждений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публичных обсуждений, в которых принял участие указанный участник</w:t>
            </w:r>
          </w:p>
        </w:tc>
      </w:tr>
      <w:tr w:rsidR="00B826B3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Общественные</w:t>
            </w:r>
            <w:r w:rsidR="006938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организации Ивановской области</w:t>
            </w:r>
          </w:p>
          <w:p w:rsidR="00B826B3" w:rsidRDefault="00B826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4932" w:rsidRDefault="006949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Ивановская</w:t>
            </w:r>
          </w:p>
          <w:p w:rsidR="00B826B3" w:rsidRDefault="00694932" w:rsidP="006949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региональная</w:t>
            </w:r>
            <w:r w:rsidR="00B826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щественная</w:t>
            </w:r>
            <w:r w:rsidR="004C5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4C5A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«Альянс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вановских перевозчиков»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B3" w:rsidRDefault="00A473C8" w:rsidP="00A473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Сбор мнений участников публичных 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 </w:t>
            </w:r>
            <w:r w:rsidR="00DA1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рассмотрению вопросов</w:t>
            </w: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Иванова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опроса с целью выяснения мнения о проекте нормативного правового акта</w:t>
            </w: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Вичуга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Кинешма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Кохма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городского округа Тейково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городского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Шуя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Верхнеландеховского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 w:rsidP="00DA1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Гаврило-Посадского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Заволжского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Ивановского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Ильинского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spacing w:after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Кинешемского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Комсомольского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Лухского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Палехского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19.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Приволжского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Администрация Родниковского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Администрация Савинского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Шуйского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shd w:val="clear" w:color="auto" w:fill="FFFFFF"/>
              <w:spacing w:after="12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2A7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7" w:rsidRDefault="00BC72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A7" w:rsidRDefault="00BC7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A4D" w:rsidTr="008675DA">
        <w:trPr>
          <w:trHeight w:val="9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4D" w:rsidRDefault="00990A4D" w:rsidP="00990A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29.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4D" w:rsidRDefault="00990A4D" w:rsidP="00745F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ТрансАвтоМед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4D" w:rsidRDefault="00990A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Целевая рассылка анкет</w:t>
            </w:r>
          </w:p>
        </w:tc>
      </w:tr>
      <w:tr w:rsidR="00990A4D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4D" w:rsidRDefault="00990A4D" w:rsidP="00990A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4D" w:rsidRDefault="00990A4D" w:rsidP="00990A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 Лачинов Р.М.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4D" w:rsidRDefault="00990A4D" w:rsidP="00990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A4D" w:rsidTr="00990A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4D" w:rsidRDefault="00990A4D" w:rsidP="00990A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4D" w:rsidRDefault="00990A4D" w:rsidP="00990A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4D" w:rsidRDefault="00990A4D" w:rsidP="00990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A4D" w:rsidTr="00990A4D">
        <w:trPr>
          <w:trHeight w:val="25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4D" w:rsidRDefault="00990A4D" w:rsidP="00990A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4D" w:rsidRDefault="00990A4D" w:rsidP="00990A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«Экспресс-Лидер»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A4D" w:rsidRDefault="00990A4D" w:rsidP="00990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мнений участников публичных 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 к рассмотрению вопросов</w:t>
            </w:r>
          </w:p>
        </w:tc>
      </w:tr>
    </w:tbl>
    <w:p w:rsidR="00B826B3" w:rsidRDefault="00B826B3" w:rsidP="00B82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DC9" w:rsidRDefault="00583DC9"/>
    <w:sectPr w:rsidR="00583DC9" w:rsidSect="000C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4708B"/>
    <w:multiLevelType w:val="hybridMultilevel"/>
    <w:tmpl w:val="EC9A6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1172"/>
    <w:multiLevelType w:val="hybridMultilevel"/>
    <w:tmpl w:val="69C2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0228B"/>
    <w:multiLevelType w:val="hybridMultilevel"/>
    <w:tmpl w:val="0B68D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B3"/>
    <w:rsid w:val="000035CB"/>
    <w:rsid w:val="00064366"/>
    <w:rsid w:val="0006610F"/>
    <w:rsid w:val="00071361"/>
    <w:rsid w:val="0009366A"/>
    <w:rsid w:val="00097BFE"/>
    <w:rsid w:val="000C39D0"/>
    <w:rsid w:val="000F79C7"/>
    <w:rsid w:val="00102D8A"/>
    <w:rsid w:val="00111F58"/>
    <w:rsid w:val="00126389"/>
    <w:rsid w:val="0013399E"/>
    <w:rsid w:val="001417FF"/>
    <w:rsid w:val="00153494"/>
    <w:rsid w:val="00182257"/>
    <w:rsid w:val="001C4C1F"/>
    <w:rsid w:val="001F28D3"/>
    <w:rsid w:val="002201D5"/>
    <w:rsid w:val="00231947"/>
    <w:rsid w:val="00236DFB"/>
    <w:rsid w:val="00260AFD"/>
    <w:rsid w:val="002B0B09"/>
    <w:rsid w:val="002B747A"/>
    <w:rsid w:val="002B7A9E"/>
    <w:rsid w:val="002C403F"/>
    <w:rsid w:val="002C7E92"/>
    <w:rsid w:val="002C7F5C"/>
    <w:rsid w:val="002F49EA"/>
    <w:rsid w:val="0034574E"/>
    <w:rsid w:val="0039269A"/>
    <w:rsid w:val="003A774B"/>
    <w:rsid w:val="003B50F8"/>
    <w:rsid w:val="003C7712"/>
    <w:rsid w:val="003D459C"/>
    <w:rsid w:val="003E4C26"/>
    <w:rsid w:val="00403FBD"/>
    <w:rsid w:val="00466AD9"/>
    <w:rsid w:val="00471826"/>
    <w:rsid w:val="004740F0"/>
    <w:rsid w:val="00497F71"/>
    <w:rsid w:val="004A12D5"/>
    <w:rsid w:val="004A6064"/>
    <w:rsid w:val="004B6BCE"/>
    <w:rsid w:val="004C5A41"/>
    <w:rsid w:val="004D42FE"/>
    <w:rsid w:val="004F7316"/>
    <w:rsid w:val="00512373"/>
    <w:rsid w:val="00512C30"/>
    <w:rsid w:val="005522C6"/>
    <w:rsid w:val="0058212A"/>
    <w:rsid w:val="00583DC9"/>
    <w:rsid w:val="005909C5"/>
    <w:rsid w:val="005A77D1"/>
    <w:rsid w:val="005B7A4B"/>
    <w:rsid w:val="00602255"/>
    <w:rsid w:val="00614FA5"/>
    <w:rsid w:val="00621ED1"/>
    <w:rsid w:val="00622DCB"/>
    <w:rsid w:val="00654C62"/>
    <w:rsid w:val="006938C6"/>
    <w:rsid w:val="00694932"/>
    <w:rsid w:val="006971A4"/>
    <w:rsid w:val="006D0C2E"/>
    <w:rsid w:val="006D5358"/>
    <w:rsid w:val="006E494B"/>
    <w:rsid w:val="006F243B"/>
    <w:rsid w:val="00745FBF"/>
    <w:rsid w:val="00757711"/>
    <w:rsid w:val="0076161B"/>
    <w:rsid w:val="00763D86"/>
    <w:rsid w:val="0076702D"/>
    <w:rsid w:val="00771212"/>
    <w:rsid w:val="0077743C"/>
    <w:rsid w:val="00795711"/>
    <w:rsid w:val="007A1E77"/>
    <w:rsid w:val="007D33A8"/>
    <w:rsid w:val="007F1732"/>
    <w:rsid w:val="00804867"/>
    <w:rsid w:val="008335FE"/>
    <w:rsid w:val="00840901"/>
    <w:rsid w:val="00877D72"/>
    <w:rsid w:val="00885513"/>
    <w:rsid w:val="0089322C"/>
    <w:rsid w:val="008A5E3B"/>
    <w:rsid w:val="008B3C79"/>
    <w:rsid w:val="008F0851"/>
    <w:rsid w:val="008F7BCD"/>
    <w:rsid w:val="0090746C"/>
    <w:rsid w:val="00923F24"/>
    <w:rsid w:val="00980E17"/>
    <w:rsid w:val="00990A4D"/>
    <w:rsid w:val="009E4102"/>
    <w:rsid w:val="00A14580"/>
    <w:rsid w:val="00A402A1"/>
    <w:rsid w:val="00A4672F"/>
    <w:rsid w:val="00A473C8"/>
    <w:rsid w:val="00A9361F"/>
    <w:rsid w:val="00AE76BB"/>
    <w:rsid w:val="00AF55A0"/>
    <w:rsid w:val="00B12D34"/>
    <w:rsid w:val="00B17E6D"/>
    <w:rsid w:val="00B225A9"/>
    <w:rsid w:val="00B42703"/>
    <w:rsid w:val="00B43B0B"/>
    <w:rsid w:val="00B713DB"/>
    <w:rsid w:val="00B826B3"/>
    <w:rsid w:val="00BB1B06"/>
    <w:rsid w:val="00BB3FC8"/>
    <w:rsid w:val="00BC72A7"/>
    <w:rsid w:val="00BF4682"/>
    <w:rsid w:val="00C124BB"/>
    <w:rsid w:val="00C528A6"/>
    <w:rsid w:val="00C61B8C"/>
    <w:rsid w:val="00CA0630"/>
    <w:rsid w:val="00CD7C69"/>
    <w:rsid w:val="00D223A0"/>
    <w:rsid w:val="00D30494"/>
    <w:rsid w:val="00D33ADD"/>
    <w:rsid w:val="00D874C9"/>
    <w:rsid w:val="00DA1A50"/>
    <w:rsid w:val="00DB1AFC"/>
    <w:rsid w:val="00DD27C7"/>
    <w:rsid w:val="00DF1419"/>
    <w:rsid w:val="00E00D3A"/>
    <w:rsid w:val="00E63B29"/>
    <w:rsid w:val="00E725CD"/>
    <w:rsid w:val="00EA46D1"/>
    <w:rsid w:val="00EE0B58"/>
    <w:rsid w:val="00F254B0"/>
    <w:rsid w:val="00F6039B"/>
    <w:rsid w:val="00F74D5D"/>
    <w:rsid w:val="00F75E5A"/>
    <w:rsid w:val="00F953D6"/>
    <w:rsid w:val="00F962D2"/>
    <w:rsid w:val="00FD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F377D-1390-41FF-99DE-1F8BBCD8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B3"/>
    <w:pPr>
      <w:ind w:left="720"/>
      <w:contextualSpacing/>
    </w:pPr>
  </w:style>
  <w:style w:type="paragraph" w:customStyle="1" w:styleId="ConsPlusNonformat">
    <w:name w:val="ConsPlusNonformat"/>
    <w:rsid w:val="00B82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82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93DC-5438-4752-B874-CAF6B19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Мелехонова Ирина Валентиновна</cp:lastModifiedBy>
  <cp:revision>27</cp:revision>
  <cp:lastPrinted>2019-04-22T07:49:00Z</cp:lastPrinted>
  <dcterms:created xsi:type="dcterms:W3CDTF">2019-04-17T07:49:00Z</dcterms:created>
  <dcterms:modified xsi:type="dcterms:W3CDTF">2019-04-22T08:02:00Z</dcterms:modified>
</cp:coreProperties>
</file>